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6EF43" w14:textId="2D46C401" w:rsidR="00443A75" w:rsidRPr="000D0ABF" w:rsidRDefault="00FA2DEB">
      <w:pPr>
        <w:pStyle w:val="Otsikko"/>
        <w:rPr>
          <w:lang w:val="fi-FI"/>
        </w:rPr>
      </w:pPr>
      <w:r>
        <w:rPr>
          <w:lang w:val="fi"/>
        </w:rPr>
        <w:t>Tärkeitä päivityksiä huoltosopimusehtoihin NU 26 ja NR 26</w:t>
      </w:r>
    </w:p>
    <w:p w14:paraId="19E7BCE7" w14:textId="77777777" w:rsidR="00522DB6" w:rsidRPr="000D0ABF" w:rsidRDefault="00522DB6">
      <w:pPr>
        <w:pStyle w:val="Otsikko"/>
        <w:rPr>
          <w:lang w:val="fi-FI"/>
        </w:rPr>
      </w:pPr>
    </w:p>
    <w:p w14:paraId="4AF6EF45" w14:textId="0CB09989" w:rsidR="00443A75" w:rsidRPr="000D0ABF" w:rsidRDefault="00FA2DEB" w:rsidP="4012B7F9">
      <w:pPr>
        <w:pStyle w:val="Leipteksti"/>
        <w:spacing w:before="202"/>
        <w:rPr>
          <w:lang w:val="fi-FI"/>
        </w:rPr>
      </w:pPr>
      <w:r>
        <w:rPr>
          <w:lang w:val="fi"/>
        </w:rPr>
        <w:t>Pohjoismaiset teollisuusjärjestöt seuraavat jatkuvasti alan tarvetta ottaa käyttöön uusia yleisiä sopimusehtoja tai muuttaa jo olemassa olevia ehtoja. Osana tätä työtä on uudistettu huoltotoiminnan yleiset sopimusehdot NU 15 ja korjaushuollon yleiset sopimusehdot NR 15. Sopimusehdot julkaistaan nyt uusilla koodeilla NU 26 ja NR 26. Monet muutokset ovat luonteeltaan kielellisiä ja rakenteellisia. Seuraavassa kommentoidaan vain muutoksia, joilla on suurempi merkitys asiasisällön kannalta.</w:t>
      </w:r>
    </w:p>
    <w:p w14:paraId="4AF6EF46" w14:textId="70A5708A" w:rsidR="00443A75" w:rsidRPr="000D0ABF" w:rsidRDefault="000440FD">
      <w:pPr>
        <w:pStyle w:val="Otsikko1"/>
        <w:spacing w:before="193"/>
        <w:rPr>
          <w:lang w:val="fi-FI"/>
        </w:rPr>
      </w:pPr>
      <w:r>
        <w:rPr>
          <w:lang w:val="fi"/>
        </w:rPr>
        <w:t>Toimittajan velvollisuudet (NU kohta 3, NR kohta 2)</w:t>
      </w:r>
    </w:p>
    <w:p w14:paraId="4AF6EF47" w14:textId="7BBB679F" w:rsidR="00443A75" w:rsidRPr="000D0ABF" w:rsidRDefault="007F1500">
      <w:pPr>
        <w:pStyle w:val="Leipteksti"/>
        <w:ind w:right="2299"/>
        <w:rPr>
          <w:lang w:val="fi-FI"/>
        </w:rPr>
      </w:pPr>
      <w:r>
        <w:rPr>
          <w:lang w:val="fi"/>
        </w:rPr>
        <w:t xml:space="preserve">Kuten aiemmissakin versioissa, toimittajan velvollisuutena on suorittaa huoltotyö sopimuksen mukaisesti. Lisäksi nyt todetaan, että työ on suoritettava asianmukaisesti, tehokkaasti ja tilaajan intressit huomioiden. </w:t>
      </w:r>
    </w:p>
    <w:p w14:paraId="19BF27B5" w14:textId="0D926FB0" w:rsidR="003A125E" w:rsidRPr="000D0ABF" w:rsidRDefault="003A125E">
      <w:pPr>
        <w:pStyle w:val="Leipteksti"/>
        <w:ind w:right="2299"/>
        <w:rPr>
          <w:b/>
          <w:bCs/>
          <w:lang w:val="fi-FI"/>
        </w:rPr>
      </w:pPr>
      <w:r>
        <w:rPr>
          <w:b/>
          <w:bCs/>
          <w:lang w:val="fi"/>
        </w:rPr>
        <w:t>Ennakkohuolto (NU kohta 4)</w:t>
      </w:r>
    </w:p>
    <w:p w14:paraId="4E84735B" w14:textId="62DB5A51" w:rsidR="00B75811" w:rsidRPr="000D0ABF" w:rsidRDefault="001A2C42" w:rsidP="00151572">
      <w:pPr>
        <w:pStyle w:val="Leipteksti"/>
        <w:ind w:left="0" w:right="2299"/>
        <w:rPr>
          <w:lang w:val="fi-FI"/>
        </w:rPr>
      </w:pPr>
      <w:r>
        <w:rPr>
          <w:lang w:val="fi"/>
        </w:rPr>
        <w:t xml:space="preserve">Ohjelmistojen päivitys voi olla tärkeä osa ennakkohuoltoa, mikä ei ole käynyt ilmi NU:n aiemmista versioista. Osapuolten huomion kiinnittämiseksi tähän asiaan NU 26 </w:t>
      </w:r>
      <w:r>
        <w:rPr>
          <w:lang w:val="fi"/>
        </w:rPr>
        <w:noBreakHyphen/>
        <w:t xml:space="preserve">ehdoissa mainitaan nyt ohjelmistojen päivityksen kuuluvan ennakkohuoltoon, mutta se edellyttää, että osapuolet ovat erikseen sopineet asiasta. Tämä käy ilmi kohdan 4 viimeisestä kappaleesta, joka alkaa ”Mikäli erityisesti sovittu...”.  </w:t>
      </w:r>
    </w:p>
    <w:p w14:paraId="79E95EEC" w14:textId="51385146" w:rsidR="00A50D2F" w:rsidRPr="000D0ABF" w:rsidRDefault="00A50D2F" w:rsidP="00151572">
      <w:pPr>
        <w:pStyle w:val="Leipteksti"/>
        <w:ind w:left="0" w:right="2299"/>
        <w:rPr>
          <w:b/>
          <w:bCs/>
          <w:lang w:val="fi-FI"/>
        </w:rPr>
      </w:pPr>
      <w:r>
        <w:rPr>
          <w:b/>
          <w:bCs/>
          <w:lang w:val="fi"/>
        </w:rPr>
        <w:t>Ilmoitus ennakkohuoltokäynnistä (NU kohta 9)</w:t>
      </w:r>
    </w:p>
    <w:p w14:paraId="339CC46D" w14:textId="1B68F209" w:rsidR="00A50D2F" w:rsidRPr="000D0ABF" w:rsidRDefault="00585C50" w:rsidP="00151572">
      <w:pPr>
        <w:pStyle w:val="Leipteksti"/>
        <w:ind w:left="0" w:right="2299"/>
        <w:rPr>
          <w:lang w:val="fi-FI"/>
        </w:rPr>
      </w:pPr>
      <w:r>
        <w:rPr>
          <w:lang w:val="fi"/>
        </w:rPr>
        <w:t xml:space="preserve">Ennakkohuoltokäynnistä annettavan ilmoituksen ajankohtaa on pidennetty viikosta kahteen viikkoon ennen käyntiä, ellei muuta ole sovittu. </w:t>
      </w:r>
    </w:p>
    <w:p w14:paraId="4AF6EF48" w14:textId="465605FC" w:rsidR="00443A75" w:rsidRPr="000D0ABF" w:rsidRDefault="00FA2DEB">
      <w:pPr>
        <w:pStyle w:val="Otsikko1"/>
        <w:rPr>
          <w:lang w:val="fi-FI"/>
        </w:rPr>
      </w:pPr>
      <w:r>
        <w:rPr>
          <w:lang w:val="fi"/>
        </w:rPr>
        <w:t>Työympäristö (NU kohta 13, NR kohta 7)</w:t>
      </w:r>
    </w:p>
    <w:p w14:paraId="4AF6EF49" w14:textId="75D3AF4A" w:rsidR="00443A75" w:rsidRPr="000D0ABF" w:rsidRDefault="00B31C52">
      <w:pPr>
        <w:pStyle w:val="Leipteksti"/>
        <w:rPr>
          <w:lang w:val="fi-FI"/>
        </w:rPr>
      </w:pPr>
      <w:r>
        <w:rPr>
          <w:lang w:val="fi"/>
        </w:rPr>
        <w:t>Työympäristöä koskevia ehtoja on muutettu, ja ne kattavat nyt myös alueet, jotka ovat tilaajan hallinnassa mutta eivät ole tilaajan omia tiloja. Uutta on tilaajan velvollisuus informoida toimittajaa tilaajan toimintaa koskevista laeista ja määräyksistä. Lisäksi täsmennetään, että toimittajan on noudatettava näitä lakeja ja määräyksiä. Mikäli työympäristössä on työhön vaikuttavia puutteita, toimittajalla on oikeus keskeyttää työnsä.</w:t>
      </w:r>
    </w:p>
    <w:p w14:paraId="5155F83E" w14:textId="7A7CABD3" w:rsidR="00F23E30" w:rsidRPr="000D0ABF" w:rsidRDefault="00F23E30">
      <w:pPr>
        <w:pStyle w:val="Leipteksti"/>
        <w:rPr>
          <w:b/>
          <w:bCs/>
          <w:lang w:val="fi-FI"/>
        </w:rPr>
      </w:pPr>
      <w:r>
        <w:rPr>
          <w:b/>
          <w:bCs/>
          <w:lang w:val="fi"/>
        </w:rPr>
        <w:t>Tekninen aineisto (NU kohta 14, NR kohta 8)</w:t>
      </w:r>
    </w:p>
    <w:p w14:paraId="7FD8B5E5" w14:textId="68ECAC86" w:rsidR="00E93837" w:rsidRPr="000D0ABF" w:rsidRDefault="005140DB" w:rsidP="00070A5B">
      <w:pPr>
        <w:pStyle w:val="Leipteksti"/>
        <w:rPr>
          <w:lang w:val="fi-FI"/>
        </w:rPr>
      </w:pPr>
      <w:r>
        <w:rPr>
          <w:lang w:val="fi"/>
        </w:rPr>
        <w:t xml:space="preserve">Tilaajan velvollisuutta tarjota toimittajalle tarpeellinen tekninen aineisto on täsmennetty niin, että aineistoa ei tule pelkästään asettaa saataville vaan myös pitää toimittajan saatavilla. Uutta on se, että samoin on pidettävä saatavilla tilaajan käyttötiedot. </w:t>
      </w:r>
    </w:p>
    <w:p w14:paraId="0A13FF9D" w14:textId="3D949CE7" w:rsidR="00222F1F" w:rsidRPr="000D0ABF" w:rsidRDefault="00222F1F">
      <w:pPr>
        <w:pStyle w:val="Leipteksti"/>
        <w:rPr>
          <w:b/>
          <w:bCs/>
          <w:lang w:val="fi-FI"/>
        </w:rPr>
      </w:pPr>
      <w:r>
        <w:rPr>
          <w:b/>
          <w:bCs/>
          <w:lang w:val="fi"/>
        </w:rPr>
        <w:t>Salassapito (NU kohta 15, NR kohta 9)</w:t>
      </w:r>
    </w:p>
    <w:p w14:paraId="4532703D" w14:textId="1BEC5BB9" w:rsidR="00757F55" w:rsidRPr="000D0ABF" w:rsidRDefault="00757F55">
      <w:pPr>
        <w:pStyle w:val="Leipteksti"/>
        <w:rPr>
          <w:lang w:val="fi-FI"/>
        </w:rPr>
      </w:pPr>
      <w:r>
        <w:rPr>
          <w:lang w:val="fi"/>
        </w:rPr>
        <w:t xml:space="preserve">Salassapitoa koskevat ehdot on vaihdettu versioon, joka vastaa muissa pohjoismaisissa ehdoissa käytettyjä sanamuotoja. </w:t>
      </w:r>
    </w:p>
    <w:p w14:paraId="4EC3A41B" w14:textId="6DCE6EA2" w:rsidR="00F86477" w:rsidRPr="000D0ABF" w:rsidRDefault="00C04C31">
      <w:pPr>
        <w:pStyle w:val="Leipteksti"/>
        <w:rPr>
          <w:b/>
          <w:bCs/>
          <w:lang w:val="fi-FI"/>
        </w:rPr>
      </w:pPr>
      <w:r>
        <w:rPr>
          <w:b/>
          <w:bCs/>
          <w:lang w:val="fi"/>
        </w:rPr>
        <w:t>Toimittajan huoltopäiväkirja (NU kohta 16, NR kohta 10)</w:t>
      </w:r>
    </w:p>
    <w:p w14:paraId="42173E5B" w14:textId="5F4A3C5D" w:rsidR="00063A4A" w:rsidRPr="000D0ABF" w:rsidRDefault="009B4E55" w:rsidP="000D7EA5">
      <w:pPr>
        <w:pStyle w:val="Leipteksti"/>
        <w:rPr>
          <w:lang w:val="fi-FI"/>
        </w:rPr>
      </w:pPr>
      <w:r>
        <w:rPr>
          <w:lang w:val="fi"/>
        </w:rPr>
        <w:t xml:space="preserve">Toimittajan velvollisuutta pitää huoltopäiväkirjaa tai vastaavaa on laajennettu niin, että toimittajan on myös toimitettava osapuolten sopimat tai lakien ja määräysten mukaiset tekniset asiakirjat tai sertifikaatit. </w:t>
      </w:r>
    </w:p>
    <w:p w14:paraId="4AF6EF4B" w14:textId="66DD3084" w:rsidR="00443A75" w:rsidRPr="000D0ABF" w:rsidRDefault="00FA2DEB">
      <w:pPr>
        <w:pStyle w:val="Otsikko1"/>
        <w:spacing w:before="198"/>
        <w:rPr>
          <w:lang w:val="fi-FI"/>
        </w:rPr>
      </w:pPr>
      <w:r>
        <w:rPr>
          <w:lang w:val="fi"/>
        </w:rPr>
        <w:lastRenderedPageBreak/>
        <w:t>Hinta-arvio. Hintakatto (NU kohta 20, NR kohta 11)</w:t>
      </w:r>
    </w:p>
    <w:p w14:paraId="4AF6EF4C" w14:textId="317E3BE6" w:rsidR="00443A75" w:rsidRPr="000D0ABF" w:rsidRDefault="006B5665">
      <w:pPr>
        <w:pStyle w:val="Leipteksti"/>
        <w:spacing w:before="199"/>
        <w:rPr>
          <w:lang w:val="fi-FI"/>
        </w:rPr>
      </w:pPr>
      <w:r>
        <w:rPr>
          <w:lang w:val="fi"/>
        </w:rPr>
        <w:t>Käsite kustannusarvio on korvattu hinta-arviolla, koska se kuvastaa merkitystä selkeämmin. Lisäksi ehtoja on täydennetty. Mikäli toimittaja huomaa, että hinta todennäköisesti ylittää arvion yli 10 prosentilla, toimittajan on ilmoitettava siitä kirjallisesti tilaajalle viipymättä. Jos ilmoitusta ei tehdä, toimittajalla ei ole oikeutta korvaukseen, joka ylittää 110 % arvioidusta hinnasta.</w:t>
      </w:r>
    </w:p>
    <w:p w14:paraId="753E6FDF" w14:textId="025994F0" w:rsidR="00531ADE" w:rsidRPr="000D0ABF" w:rsidRDefault="00531ADE">
      <w:pPr>
        <w:pStyle w:val="Leipteksti"/>
        <w:spacing w:before="199"/>
        <w:rPr>
          <w:b/>
          <w:bCs/>
          <w:lang w:val="fi-FI"/>
        </w:rPr>
      </w:pPr>
      <w:r>
        <w:rPr>
          <w:b/>
          <w:bCs/>
          <w:lang w:val="fi"/>
        </w:rPr>
        <w:t>Maksut, viivästyskorko (NU kohta 21, NR kohta 12)</w:t>
      </w:r>
    </w:p>
    <w:p w14:paraId="32511232" w14:textId="0B7BE2B4" w:rsidR="004C5B16" w:rsidRPr="000D0ABF" w:rsidRDefault="00F117E9">
      <w:pPr>
        <w:pStyle w:val="Leipteksti"/>
        <w:spacing w:before="199"/>
        <w:rPr>
          <w:lang w:val="fi-FI"/>
        </w:rPr>
      </w:pPr>
      <w:r>
        <w:rPr>
          <w:lang w:val="fi"/>
        </w:rPr>
        <w:t xml:space="preserve">Uutta ehdoissa on toimittajan oikeus korvaukseen perintäkustannuksista tilaajan maksun viivästyessä. </w:t>
      </w:r>
    </w:p>
    <w:p w14:paraId="2419BB87" w14:textId="2000061A" w:rsidR="008F13F2" w:rsidRPr="000D0ABF" w:rsidRDefault="00801346">
      <w:pPr>
        <w:pStyle w:val="Leipteksti"/>
        <w:spacing w:before="199"/>
        <w:rPr>
          <w:b/>
          <w:bCs/>
          <w:lang w:val="fi-FI"/>
        </w:rPr>
      </w:pPr>
      <w:r>
        <w:rPr>
          <w:b/>
          <w:bCs/>
          <w:lang w:val="fi"/>
        </w:rPr>
        <w:t>Vastuu virheellisesti suoritetusta työstä (NU kohta 22, NR kohta 13)</w:t>
      </w:r>
    </w:p>
    <w:p w14:paraId="07F1BE1D" w14:textId="402379E9" w:rsidR="00634A56" w:rsidRPr="000D0ABF" w:rsidRDefault="00634A56">
      <w:pPr>
        <w:pStyle w:val="Leipteksti"/>
        <w:spacing w:before="199"/>
        <w:rPr>
          <w:lang w:val="fi-FI"/>
        </w:rPr>
      </w:pPr>
      <w:r>
        <w:rPr>
          <w:lang w:val="fi"/>
        </w:rPr>
        <w:t xml:space="preserve">Ehtojen aiemmissa versioissa on käytetty virheen käsitteen ohella ilmauksia ”puutteellisesti suoritettu huolto” ja ”puutteet”, kun suoritettu huoltotyö ei ole ollut riittävää. Puutteen ja virheen erottamiselle toisistaan ei ole perusteltua syytä. Sovellettavassa lainsäädännössä käytetään ainoastaan virheen käsitettä. Siksi puutteet ja puutteellisesti suoritettu huolto on korvattu virheillä ja virheellisesti suoritetulla työllä. Varsinaisessa asiassa ei ole eroa. </w:t>
      </w:r>
    </w:p>
    <w:p w14:paraId="3EF752BA" w14:textId="4E9B893A" w:rsidR="00F01623" w:rsidRPr="000D0ABF" w:rsidRDefault="00F01623">
      <w:pPr>
        <w:pStyle w:val="Leipteksti"/>
        <w:spacing w:before="199"/>
        <w:rPr>
          <w:b/>
          <w:bCs/>
          <w:lang w:val="fi-FI"/>
        </w:rPr>
      </w:pPr>
      <w:r>
        <w:rPr>
          <w:b/>
          <w:bCs/>
          <w:lang w:val="fi"/>
        </w:rPr>
        <w:t>Vastuu tilaajan omaisuudelle aiheutuneesta vahingosta (NU kohta 28, NR kohta 19)</w:t>
      </w:r>
    </w:p>
    <w:p w14:paraId="57496E53" w14:textId="044860F8" w:rsidR="00407AA4" w:rsidRPr="000D0ABF" w:rsidRDefault="009D0767">
      <w:pPr>
        <w:pStyle w:val="Leipteksti"/>
        <w:spacing w:before="199"/>
        <w:rPr>
          <w:lang w:val="fi-FI"/>
        </w:rPr>
      </w:pPr>
      <w:r>
        <w:rPr>
          <w:lang w:val="fi"/>
        </w:rPr>
        <w:t xml:space="preserve">Ehdoissa toimittajan vastuu tilaajan omaisuudelle aiheutuneesta vahingosta on nostettu 100 000 eurosta 300 000 euroon. Jos osapuolet ovat sopineet muusta vastuunrajoituksen tasosta, sovelletaan sitä. Näin oli myös aiemmissa versioissa, mutta asia todetaan nyt nimenomaisesti. </w:t>
      </w:r>
    </w:p>
    <w:p w14:paraId="184E4F0C" w14:textId="2244A66C" w:rsidR="004127B0" w:rsidRPr="000D0ABF" w:rsidRDefault="009B74D1">
      <w:pPr>
        <w:pStyle w:val="Leipteksti"/>
        <w:spacing w:before="199"/>
        <w:rPr>
          <w:b/>
          <w:bCs/>
          <w:lang w:val="fi-FI"/>
        </w:rPr>
      </w:pPr>
      <w:r>
        <w:rPr>
          <w:b/>
          <w:bCs/>
          <w:lang w:val="fi"/>
        </w:rPr>
        <w:t>Vastuun rajoittaminen (NU kohta 29, NR kohta 20)</w:t>
      </w:r>
    </w:p>
    <w:p w14:paraId="1EE155B3" w14:textId="7D71E3AD" w:rsidR="00FC7CE3" w:rsidRPr="000D0ABF" w:rsidRDefault="009B10D4">
      <w:pPr>
        <w:pStyle w:val="Leipteksti"/>
        <w:spacing w:before="199"/>
        <w:rPr>
          <w:lang w:val="fi-FI"/>
        </w:rPr>
      </w:pPr>
      <w:r>
        <w:rPr>
          <w:lang w:val="fi"/>
        </w:rPr>
        <w:t>Vastuunrajoitusta koskevia ehtoja on uudistettu, ja ne vastaavat nyt muissa pohjoismaisissa ehdoissa olevia vastuunrajoituksia.</w:t>
      </w:r>
    </w:p>
    <w:p w14:paraId="6ED1D9A0" w14:textId="475ACF7F" w:rsidR="004127B0" w:rsidRPr="000D0ABF" w:rsidRDefault="00D763A9">
      <w:pPr>
        <w:pStyle w:val="Leipteksti"/>
        <w:spacing w:before="199"/>
        <w:rPr>
          <w:lang w:val="fi-FI"/>
        </w:rPr>
      </w:pPr>
      <w:r>
        <w:rPr>
          <w:lang w:val="fi"/>
        </w:rPr>
        <w:t xml:space="preserve">Vastuu kolmannen osapuolen omaisuudelle aiheutuneista vahingoista on poistettu. Tämäntyyppiset vahingot ovat ennen kaikkea vakuutuskysymys, minkä vuoksi on katsottu tarkoituksenmukaisemmaksi, että vastuu määräytyy sovellettavan lainsäädännön mukaan.  </w:t>
      </w:r>
    </w:p>
    <w:p w14:paraId="0C92A83E" w14:textId="263C8843" w:rsidR="006A1B4A" w:rsidRPr="000D0ABF" w:rsidRDefault="00606094">
      <w:pPr>
        <w:pStyle w:val="Leipteksti"/>
        <w:spacing w:before="199"/>
        <w:rPr>
          <w:b/>
          <w:bCs/>
          <w:lang w:val="fi-FI"/>
        </w:rPr>
      </w:pPr>
      <w:r>
        <w:rPr>
          <w:b/>
          <w:bCs/>
          <w:lang w:val="fi"/>
        </w:rPr>
        <w:t>Erimielisyydet. Sovellettava laki (NU kohta 35, NR kohta 22)</w:t>
      </w:r>
    </w:p>
    <w:p w14:paraId="49C19AE5" w14:textId="4F5F7499" w:rsidR="003A72F2" w:rsidRPr="000D0ABF" w:rsidRDefault="00A22035">
      <w:pPr>
        <w:pStyle w:val="Leipteksti"/>
        <w:spacing w:before="199"/>
        <w:rPr>
          <w:lang w:val="fi-FI"/>
        </w:rPr>
      </w:pPr>
      <w:r>
        <w:rPr>
          <w:lang w:val="fi"/>
        </w:rPr>
        <w:t xml:space="preserve">Erimielisyyksien ratkaisua koskevaa ehtoa on muutettu, ja se antaa nyt osapuolelle, joka esittää korkeintaan 50 000 euron suuruisen vaatimuksen ilman arvonlisäveroa, mahdollisuuden valita välimiesmenettelyn sijaan toimittajan maan yleinen tuomioistuin. Kuten aiemminkin, muut erimielisyydet ratkaistaan välimiesmenettelystä annetun lain mukaisessa välimiesmenettelyssä toimittajan maassa. </w:t>
      </w:r>
    </w:p>
    <w:p w14:paraId="1A5405A0" w14:textId="7BD96EBE" w:rsidR="00A3221F" w:rsidRPr="000D0ABF" w:rsidRDefault="00A22035" w:rsidP="00070A5B">
      <w:pPr>
        <w:pStyle w:val="Leipteksti"/>
        <w:spacing w:before="199"/>
        <w:rPr>
          <w:lang w:val="fi-FI"/>
        </w:rPr>
      </w:pPr>
      <w:r>
        <w:rPr>
          <w:lang w:val="fi"/>
        </w:rPr>
        <w:t>Erimielisyyksien ratkaisua koskevien ehtojen muuttamisen tarkoituksena on erityisesti varmistaa, ettei osapuoli jää käytännössä ilman oikeussuojaa pieniä summia koskevissa erimielisyyksissä. Riski välimiesmenettelyyn usein liittyvistä korkeista kustannuksista voi merkittävästi vähentää vahinkoa kärsineen osapuolen halua ja mahdollisuuksia viedä asiansa oikeuden käsiteltäväksi.</w:t>
      </w:r>
    </w:p>
    <w:sectPr w:rsidR="00A3221F" w:rsidRPr="000D0ABF" w:rsidSect="000D0ABF">
      <w:footerReference w:type="default" r:id="rId9"/>
      <w:pgSz w:w="11910" w:h="16840"/>
      <w:pgMar w:top="1920" w:right="283" w:bottom="851" w:left="1417" w:header="0" w:footer="4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F7B17" w14:textId="77777777" w:rsidR="000A5FD1" w:rsidRDefault="000A5FD1">
      <w:r>
        <w:separator/>
      </w:r>
    </w:p>
  </w:endnote>
  <w:endnote w:type="continuationSeparator" w:id="0">
    <w:p w14:paraId="1E8AF0ED" w14:textId="77777777" w:rsidR="000A5FD1" w:rsidRDefault="000A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EF67" w14:textId="77777777" w:rsidR="00443A75" w:rsidRDefault="00FA2DEB">
    <w:pPr>
      <w:pStyle w:val="Leipteksti"/>
      <w:spacing w:before="0" w:line="14" w:lineRule="auto"/>
      <w:ind w:left="0" w:right="0"/>
      <w:rPr>
        <w:sz w:val="20"/>
      </w:rPr>
    </w:pPr>
    <w:r>
      <w:rPr>
        <w:noProof/>
        <w:sz w:val="20"/>
        <w:lang w:val="fi"/>
      </w:rPr>
      <mc:AlternateContent>
        <mc:Choice Requires="wps">
          <w:drawing>
            <wp:anchor distT="0" distB="0" distL="0" distR="0" simplePos="0" relativeHeight="251658240" behindDoc="1" locked="0" layoutInCell="1" allowOverlap="1" wp14:anchorId="4AF6EF68" wp14:editId="4AF6EF69">
              <wp:simplePos x="0" y="0"/>
              <wp:positionH relativeFrom="page">
                <wp:posOffset>3297935</wp:posOffset>
              </wp:positionH>
              <wp:positionV relativeFrom="page">
                <wp:posOffset>10242246</wp:posOffset>
              </wp:positionV>
              <wp:extent cx="221615" cy="1327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32715"/>
                      </a:xfrm>
                      <a:prstGeom prst="rect">
                        <a:avLst/>
                      </a:prstGeom>
                    </wps:spPr>
                    <wps:txbx>
                      <w:txbxContent>
                        <w:p w14:paraId="4AF6EF6A" w14:textId="77777777" w:rsidR="00443A75" w:rsidRDefault="00FA2DEB">
                          <w:pPr>
                            <w:spacing w:before="16"/>
                            <w:ind w:left="60"/>
                            <w:rPr>
                              <w:sz w:val="15"/>
                            </w:rPr>
                          </w:pPr>
                          <w:r>
                            <w:rPr>
                              <w:sz w:val="15"/>
                              <w:lang w:val="fi"/>
                            </w:rPr>
                            <w:fldChar w:fldCharType="begin"/>
                          </w:r>
                          <w:r>
                            <w:rPr>
                              <w:sz w:val="15"/>
                              <w:lang w:val="fi"/>
                            </w:rPr>
                            <w:instrText xml:space="preserve"> PAGE </w:instrText>
                          </w:r>
                          <w:r>
                            <w:rPr>
                              <w:sz w:val="15"/>
                              <w:lang w:val="fi"/>
                            </w:rPr>
                            <w:fldChar w:fldCharType="separate"/>
                          </w:r>
                          <w:r>
                            <w:rPr>
                              <w:sz w:val="15"/>
                              <w:lang w:val="fi"/>
                            </w:rPr>
                            <w:t>1</w:t>
                          </w:r>
                          <w:r>
                            <w:rPr>
                              <w:sz w:val="15"/>
                              <w:lang w:val="fi"/>
                            </w:rPr>
                            <w:fldChar w:fldCharType="end"/>
                          </w:r>
                          <w:r>
                            <w:rPr>
                              <w:sz w:val="15"/>
                              <w:lang w:val="fi"/>
                            </w:rPr>
                            <w:t>(</w:t>
                          </w:r>
                          <w:r>
                            <w:rPr>
                              <w:sz w:val="15"/>
                              <w:lang w:val="fi"/>
                            </w:rPr>
                            <w:fldChar w:fldCharType="begin"/>
                          </w:r>
                          <w:r>
                            <w:rPr>
                              <w:sz w:val="15"/>
                              <w:lang w:val="fi"/>
                            </w:rPr>
                            <w:instrText xml:space="preserve"> NUMPAGES </w:instrText>
                          </w:r>
                          <w:r>
                            <w:rPr>
                              <w:sz w:val="15"/>
                              <w:lang w:val="fi"/>
                            </w:rPr>
                            <w:fldChar w:fldCharType="separate"/>
                          </w:r>
                          <w:r>
                            <w:rPr>
                              <w:sz w:val="15"/>
                              <w:lang w:val="fi"/>
                            </w:rPr>
                            <w:t>3</w:t>
                          </w:r>
                          <w:r>
                            <w:rPr>
                              <w:sz w:val="15"/>
                              <w:lang w:val="fi"/>
                            </w:rPr>
                            <w:fldChar w:fldCharType="end"/>
                          </w:r>
                          <w:r>
                            <w:rPr>
                              <w:sz w:val="15"/>
                              <w:lang w:val="fi"/>
                            </w:rPr>
                            <w:t>)</w:t>
                          </w:r>
                        </w:p>
                      </w:txbxContent>
                    </wps:txbx>
                    <wps:bodyPr wrap="square" lIns="0" tIns="0" rIns="0" bIns="0" rtlCol="0">
                      <a:noAutofit/>
                    </wps:bodyPr>
                  </wps:wsp>
                </a:graphicData>
              </a:graphic>
            </wp:anchor>
          </w:drawing>
        </mc:Choice>
        <mc:Fallback>
          <w:pict>
            <v:shapetype w14:anchorId="4AF6EF68" id="_x0000_t202" coordsize="21600,21600" o:spt="202" path="m,l,21600r21600,l21600,xe">
              <v:stroke joinstyle="miter"/>
              <v:path gradientshapeok="t" o:connecttype="rect"/>
            </v:shapetype>
            <v:shape id="Textbox 1" o:spid="_x0000_s1026" type="#_x0000_t202" style="position:absolute;margin-left:259.7pt;margin-top:806.5pt;width:17.45pt;height:10.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" filled="f" stroked="f">
              <v:textbox inset="0,0,0,0">
                <w:txbxContent>
                  <w:p w14:paraId="4AF6EF6A" w14:textId="77777777" w:rsidR="00443A75" w:rsidRDefault="00FA2DEB">
                    <w:pPr>
                      <w:spacing w:before="16"/>
                      <w:ind w:left="60"/>
                      <w:rPr>
                        <w:sz w:val="15"/>
                      </w:rPr>
                      <w:bidi w:val="0"/>
                    </w:pPr>
                    <w:r>
                      <w:rPr>
                        <w:sz w:val="15"/>
                        <w:lang w:val="fi"/>
                        <w:b w:val="0"/>
                        <w:bCs w:val="0"/>
                        <w:i w:val="0"/>
                        <w:iCs w:val="0"/>
                        <w:u w:val="none"/>
                        <w:vertAlign w:val="baseline"/>
                        <w:rtl w:val="0"/>
                      </w:rPr>
                      <w:fldChar w:fldCharType="begin"/>
                    </w:r>
                    <w:r>
                      <w:rPr>
                        <w:sz w:val="15"/>
                        <w:lang w:val="fi"/>
                        <w:b w:val="0"/>
                        <w:bCs w:val="0"/>
                        <w:i w:val="0"/>
                        <w:iCs w:val="0"/>
                        <w:u w:val="none"/>
                        <w:vertAlign w:val="baseline"/>
                        <w:rtl w:val="0"/>
                      </w:rPr>
                      <w:instrText xml:space="preserve"> PAGE </w:instrText>
                    </w:r>
                    <w:r>
                      <w:rPr>
                        <w:sz w:val="15"/>
                        <w:lang w:val="fi"/>
                        <w:b w:val="0"/>
                        <w:bCs w:val="0"/>
                        <w:i w:val="0"/>
                        <w:iCs w:val="0"/>
                        <w:u w:val="none"/>
                        <w:vertAlign w:val="baseline"/>
                        <w:rtl w:val="0"/>
                      </w:rPr>
                      <w:fldChar w:fldCharType="separate"/>
                    </w:r>
                    <w:r>
                      <w:rPr>
                        <w:sz w:val="15"/>
                        <w:lang w:val="fi"/>
                        <w:b w:val="0"/>
                        <w:bCs w:val="0"/>
                        <w:i w:val="0"/>
                        <w:iCs w:val="0"/>
                        <w:u w:val="none"/>
                        <w:vertAlign w:val="baseline"/>
                        <w:rtl w:val="0"/>
                      </w:rPr>
                      <w:t xml:space="preserve">1</w:t>
                    </w:r>
                    <w:r>
                      <w:rPr>
                        <w:sz w:val="15"/>
                        <w:lang w:val="fi"/>
                        <w:b w:val="0"/>
                        <w:bCs w:val="0"/>
                        <w:i w:val="0"/>
                        <w:iCs w:val="0"/>
                        <w:u w:val="none"/>
                        <w:vertAlign w:val="baseline"/>
                        <w:rtl w:val="0"/>
                      </w:rPr>
                      <w:fldChar w:fldCharType="end"/>
                    </w:r>
                    <w:r>
                      <w:rPr>
                        <w:sz w:val="15"/>
                        <w:lang w:val="fi"/>
                        <w:b w:val="0"/>
                        <w:bCs w:val="0"/>
                        <w:i w:val="0"/>
                        <w:iCs w:val="0"/>
                        <w:u w:val="none"/>
                        <w:vertAlign w:val="baseline"/>
                        <w:rtl w:val="0"/>
                      </w:rPr>
                      <w:t xml:space="preserve">(</w:t>
                    </w:r>
                    <w:r>
                      <w:rPr>
                        <w:sz w:val="15"/>
                        <w:lang w:val="fi"/>
                        <w:b w:val="0"/>
                        <w:bCs w:val="0"/>
                        <w:i w:val="0"/>
                        <w:iCs w:val="0"/>
                        <w:u w:val="none"/>
                        <w:vertAlign w:val="baseline"/>
                        <w:rtl w:val="0"/>
                      </w:rPr>
                      <w:fldChar w:fldCharType="begin"/>
                    </w:r>
                    <w:r>
                      <w:rPr>
                        <w:sz w:val="15"/>
                        <w:lang w:val="fi"/>
                        <w:b w:val="0"/>
                        <w:bCs w:val="0"/>
                        <w:i w:val="0"/>
                        <w:iCs w:val="0"/>
                        <w:u w:val="none"/>
                        <w:vertAlign w:val="baseline"/>
                        <w:rtl w:val="0"/>
                      </w:rPr>
                      <w:instrText xml:space="preserve"> NUMPAGES </w:instrText>
                    </w:r>
                    <w:r>
                      <w:rPr>
                        <w:sz w:val="15"/>
                        <w:lang w:val="fi"/>
                        <w:b w:val="0"/>
                        <w:bCs w:val="0"/>
                        <w:i w:val="0"/>
                        <w:iCs w:val="0"/>
                        <w:u w:val="none"/>
                        <w:vertAlign w:val="baseline"/>
                        <w:rtl w:val="0"/>
                      </w:rPr>
                      <w:fldChar w:fldCharType="separate"/>
                    </w:r>
                    <w:r>
                      <w:rPr>
                        <w:sz w:val="15"/>
                        <w:lang w:val="fi"/>
                        <w:b w:val="0"/>
                        <w:bCs w:val="0"/>
                        <w:i w:val="0"/>
                        <w:iCs w:val="0"/>
                        <w:u w:val="none"/>
                        <w:vertAlign w:val="baseline"/>
                        <w:rtl w:val="0"/>
                      </w:rPr>
                      <w:t xml:space="preserve">3</w:t>
                    </w:r>
                    <w:r>
                      <w:rPr>
                        <w:sz w:val="15"/>
                        <w:lang w:val="fi"/>
                        <w:b w:val="0"/>
                        <w:bCs w:val="0"/>
                        <w:i w:val="0"/>
                        <w:iCs w:val="0"/>
                        <w:u w:val="none"/>
                        <w:vertAlign w:val="baseline"/>
                        <w:rtl w:val="0"/>
                      </w:rPr>
                      <w:fldChar w:fldCharType="end"/>
                    </w:r>
                    <w:r>
                      <w:rPr>
                        <w:sz w:val="15"/>
                        <w:lang w:val="fi"/>
                        <w:b w:val="0"/>
                        <w:bCs w:val="0"/>
                        <w:i w:val="0"/>
                        <w:iCs w:val="0"/>
                        <w:u w:val="none"/>
                        <w:vertAlign w:val="baseline"/>
                        <w:rtl w:val="0"/>
                      </w:rPr>
                      <w:t xml:space="preser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A2C6" w14:textId="77777777" w:rsidR="000A5FD1" w:rsidRDefault="000A5FD1">
      <w:r>
        <w:separator/>
      </w:r>
    </w:p>
  </w:footnote>
  <w:footnote w:type="continuationSeparator" w:id="0">
    <w:p w14:paraId="31AF1D8C" w14:textId="77777777" w:rsidR="000A5FD1" w:rsidRDefault="000A5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0tTAwAjKMjY3NDZV0lIJTi4sz8/NACoxqAS4mdNksAAAA"/>
  </w:docVars>
  <w:rsids>
    <w:rsidRoot w:val="00443A75"/>
    <w:rsid w:val="00003570"/>
    <w:rsid w:val="000069BF"/>
    <w:rsid w:val="00026081"/>
    <w:rsid w:val="000440FD"/>
    <w:rsid w:val="000538FA"/>
    <w:rsid w:val="00055CFE"/>
    <w:rsid w:val="00063A4A"/>
    <w:rsid w:val="00070A5B"/>
    <w:rsid w:val="00080E8F"/>
    <w:rsid w:val="000A5FD1"/>
    <w:rsid w:val="000A763E"/>
    <w:rsid w:val="000C7517"/>
    <w:rsid w:val="000D01DE"/>
    <w:rsid w:val="000D0ABB"/>
    <w:rsid w:val="000D0ABF"/>
    <w:rsid w:val="000D4557"/>
    <w:rsid w:val="000D7EA5"/>
    <w:rsid w:val="000E0E50"/>
    <w:rsid w:val="00102C50"/>
    <w:rsid w:val="001118E0"/>
    <w:rsid w:val="00135E9F"/>
    <w:rsid w:val="00140DD8"/>
    <w:rsid w:val="0014516B"/>
    <w:rsid w:val="0015125B"/>
    <w:rsid w:val="00151572"/>
    <w:rsid w:val="0017011F"/>
    <w:rsid w:val="00171BE0"/>
    <w:rsid w:val="00177B65"/>
    <w:rsid w:val="00180A98"/>
    <w:rsid w:val="0019693F"/>
    <w:rsid w:val="001A16E1"/>
    <w:rsid w:val="001A2C42"/>
    <w:rsid w:val="001A4E3B"/>
    <w:rsid w:val="001B1198"/>
    <w:rsid w:val="001B37EE"/>
    <w:rsid w:val="001B6BDD"/>
    <w:rsid w:val="001D45BE"/>
    <w:rsid w:val="001E2065"/>
    <w:rsid w:val="001E72E0"/>
    <w:rsid w:val="00203297"/>
    <w:rsid w:val="00222F1F"/>
    <w:rsid w:val="0023063F"/>
    <w:rsid w:val="0023196B"/>
    <w:rsid w:val="00271533"/>
    <w:rsid w:val="00274E53"/>
    <w:rsid w:val="00276B9C"/>
    <w:rsid w:val="0028106D"/>
    <w:rsid w:val="002959DB"/>
    <w:rsid w:val="002A1B10"/>
    <w:rsid w:val="002A7532"/>
    <w:rsid w:val="002D36BB"/>
    <w:rsid w:val="002D4256"/>
    <w:rsid w:val="002E613D"/>
    <w:rsid w:val="002F04E8"/>
    <w:rsid w:val="00306A84"/>
    <w:rsid w:val="0031245E"/>
    <w:rsid w:val="00316F71"/>
    <w:rsid w:val="003214EA"/>
    <w:rsid w:val="003264DD"/>
    <w:rsid w:val="00331DD3"/>
    <w:rsid w:val="00336580"/>
    <w:rsid w:val="00351FF4"/>
    <w:rsid w:val="00361590"/>
    <w:rsid w:val="0036627D"/>
    <w:rsid w:val="0037447A"/>
    <w:rsid w:val="00386AB9"/>
    <w:rsid w:val="003A125E"/>
    <w:rsid w:val="003A72F2"/>
    <w:rsid w:val="003B42EC"/>
    <w:rsid w:val="003B4EA2"/>
    <w:rsid w:val="003C74D7"/>
    <w:rsid w:val="003F1DB2"/>
    <w:rsid w:val="00407AA4"/>
    <w:rsid w:val="004126C2"/>
    <w:rsid w:val="004127B0"/>
    <w:rsid w:val="004177AB"/>
    <w:rsid w:val="00427048"/>
    <w:rsid w:val="00431884"/>
    <w:rsid w:val="00435493"/>
    <w:rsid w:val="00437197"/>
    <w:rsid w:val="00443A75"/>
    <w:rsid w:val="00445C72"/>
    <w:rsid w:val="00453BBB"/>
    <w:rsid w:val="00456D7A"/>
    <w:rsid w:val="0046713F"/>
    <w:rsid w:val="004757E7"/>
    <w:rsid w:val="00476C14"/>
    <w:rsid w:val="00490FCA"/>
    <w:rsid w:val="00496DCE"/>
    <w:rsid w:val="004A0451"/>
    <w:rsid w:val="004A3C9D"/>
    <w:rsid w:val="004B6094"/>
    <w:rsid w:val="004C01EA"/>
    <w:rsid w:val="004C03DB"/>
    <w:rsid w:val="004C5412"/>
    <w:rsid w:val="004C5B16"/>
    <w:rsid w:val="004C7D38"/>
    <w:rsid w:val="004D3054"/>
    <w:rsid w:val="004D6B4F"/>
    <w:rsid w:val="004F134A"/>
    <w:rsid w:val="004F54AF"/>
    <w:rsid w:val="004F6ED3"/>
    <w:rsid w:val="00500FED"/>
    <w:rsid w:val="005075D0"/>
    <w:rsid w:val="00513167"/>
    <w:rsid w:val="005140DB"/>
    <w:rsid w:val="00522DB6"/>
    <w:rsid w:val="00531ADE"/>
    <w:rsid w:val="00533F54"/>
    <w:rsid w:val="00543648"/>
    <w:rsid w:val="00544562"/>
    <w:rsid w:val="00553085"/>
    <w:rsid w:val="00556D2B"/>
    <w:rsid w:val="00570C85"/>
    <w:rsid w:val="0057179A"/>
    <w:rsid w:val="00574D00"/>
    <w:rsid w:val="00575945"/>
    <w:rsid w:val="00581278"/>
    <w:rsid w:val="005824E5"/>
    <w:rsid w:val="00585C50"/>
    <w:rsid w:val="00591E8C"/>
    <w:rsid w:val="005B1DAA"/>
    <w:rsid w:val="005B29CE"/>
    <w:rsid w:val="005B3BC7"/>
    <w:rsid w:val="005B594E"/>
    <w:rsid w:val="005B5AA0"/>
    <w:rsid w:val="005C1DAF"/>
    <w:rsid w:val="005F6ECE"/>
    <w:rsid w:val="005F7587"/>
    <w:rsid w:val="006014C8"/>
    <w:rsid w:val="00606094"/>
    <w:rsid w:val="00606F36"/>
    <w:rsid w:val="006126E2"/>
    <w:rsid w:val="00620F9B"/>
    <w:rsid w:val="00627617"/>
    <w:rsid w:val="00632890"/>
    <w:rsid w:val="00634A56"/>
    <w:rsid w:val="006415EF"/>
    <w:rsid w:val="0066575C"/>
    <w:rsid w:val="00686ED6"/>
    <w:rsid w:val="00692650"/>
    <w:rsid w:val="006A1B4A"/>
    <w:rsid w:val="006A79E9"/>
    <w:rsid w:val="006B2A76"/>
    <w:rsid w:val="006B3F38"/>
    <w:rsid w:val="006B5665"/>
    <w:rsid w:val="006B7BEE"/>
    <w:rsid w:val="006C5116"/>
    <w:rsid w:val="006F23F6"/>
    <w:rsid w:val="006F2972"/>
    <w:rsid w:val="006F5AAA"/>
    <w:rsid w:val="00703346"/>
    <w:rsid w:val="00711787"/>
    <w:rsid w:val="00720D8E"/>
    <w:rsid w:val="00725329"/>
    <w:rsid w:val="00743782"/>
    <w:rsid w:val="00753FA5"/>
    <w:rsid w:val="007558FC"/>
    <w:rsid w:val="00757F55"/>
    <w:rsid w:val="007841E5"/>
    <w:rsid w:val="0078553A"/>
    <w:rsid w:val="00790722"/>
    <w:rsid w:val="00795277"/>
    <w:rsid w:val="007D0F04"/>
    <w:rsid w:val="007D3F35"/>
    <w:rsid w:val="007E6517"/>
    <w:rsid w:val="007F1500"/>
    <w:rsid w:val="00801346"/>
    <w:rsid w:val="00803DE1"/>
    <w:rsid w:val="00815FBE"/>
    <w:rsid w:val="0082662A"/>
    <w:rsid w:val="00830674"/>
    <w:rsid w:val="00835E43"/>
    <w:rsid w:val="00846132"/>
    <w:rsid w:val="00853484"/>
    <w:rsid w:val="00885ED2"/>
    <w:rsid w:val="00885FA9"/>
    <w:rsid w:val="00887D73"/>
    <w:rsid w:val="008B13D7"/>
    <w:rsid w:val="008E094E"/>
    <w:rsid w:val="008E232C"/>
    <w:rsid w:val="008F0CBC"/>
    <w:rsid w:val="008F13F2"/>
    <w:rsid w:val="00920150"/>
    <w:rsid w:val="0095116C"/>
    <w:rsid w:val="00964560"/>
    <w:rsid w:val="00971A90"/>
    <w:rsid w:val="00974A92"/>
    <w:rsid w:val="009955B4"/>
    <w:rsid w:val="00997923"/>
    <w:rsid w:val="009B10D4"/>
    <w:rsid w:val="009B4E55"/>
    <w:rsid w:val="009B74D1"/>
    <w:rsid w:val="009D0767"/>
    <w:rsid w:val="009D41E9"/>
    <w:rsid w:val="009F1C62"/>
    <w:rsid w:val="00A0703B"/>
    <w:rsid w:val="00A11C91"/>
    <w:rsid w:val="00A22035"/>
    <w:rsid w:val="00A3221F"/>
    <w:rsid w:val="00A459CF"/>
    <w:rsid w:val="00A50D2F"/>
    <w:rsid w:val="00A708EE"/>
    <w:rsid w:val="00A91D21"/>
    <w:rsid w:val="00AB2B04"/>
    <w:rsid w:val="00AD19D1"/>
    <w:rsid w:val="00AE1AF0"/>
    <w:rsid w:val="00AF087E"/>
    <w:rsid w:val="00AF4C39"/>
    <w:rsid w:val="00B049D9"/>
    <w:rsid w:val="00B24309"/>
    <w:rsid w:val="00B31C52"/>
    <w:rsid w:val="00B33F25"/>
    <w:rsid w:val="00B421B8"/>
    <w:rsid w:val="00B55842"/>
    <w:rsid w:val="00B62047"/>
    <w:rsid w:val="00B675A3"/>
    <w:rsid w:val="00B73ADB"/>
    <w:rsid w:val="00B75811"/>
    <w:rsid w:val="00B95233"/>
    <w:rsid w:val="00BA1620"/>
    <w:rsid w:val="00BB274C"/>
    <w:rsid w:val="00BB5C6F"/>
    <w:rsid w:val="00BB5D6D"/>
    <w:rsid w:val="00BB6203"/>
    <w:rsid w:val="00BC2AD3"/>
    <w:rsid w:val="00BC4F0A"/>
    <w:rsid w:val="00BD2E9F"/>
    <w:rsid w:val="00BE4411"/>
    <w:rsid w:val="00BF3150"/>
    <w:rsid w:val="00C04C31"/>
    <w:rsid w:val="00C21343"/>
    <w:rsid w:val="00C30221"/>
    <w:rsid w:val="00C43F29"/>
    <w:rsid w:val="00C451B2"/>
    <w:rsid w:val="00C50D4D"/>
    <w:rsid w:val="00C60557"/>
    <w:rsid w:val="00C613C9"/>
    <w:rsid w:val="00C7326D"/>
    <w:rsid w:val="00C76476"/>
    <w:rsid w:val="00C821EF"/>
    <w:rsid w:val="00CA7AFC"/>
    <w:rsid w:val="00CB34E2"/>
    <w:rsid w:val="00CB5187"/>
    <w:rsid w:val="00CC4972"/>
    <w:rsid w:val="00CD082A"/>
    <w:rsid w:val="00CE2CF0"/>
    <w:rsid w:val="00D03C3F"/>
    <w:rsid w:val="00D07656"/>
    <w:rsid w:val="00D11256"/>
    <w:rsid w:val="00D132FE"/>
    <w:rsid w:val="00D172EB"/>
    <w:rsid w:val="00D26412"/>
    <w:rsid w:val="00D42B45"/>
    <w:rsid w:val="00D443E3"/>
    <w:rsid w:val="00D46FF6"/>
    <w:rsid w:val="00D57FEF"/>
    <w:rsid w:val="00D763A9"/>
    <w:rsid w:val="00D84EBD"/>
    <w:rsid w:val="00D866B7"/>
    <w:rsid w:val="00D878A9"/>
    <w:rsid w:val="00D93EF6"/>
    <w:rsid w:val="00DA1214"/>
    <w:rsid w:val="00DA21B8"/>
    <w:rsid w:val="00DB143E"/>
    <w:rsid w:val="00DB564E"/>
    <w:rsid w:val="00DB75C3"/>
    <w:rsid w:val="00DE4270"/>
    <w:rsid w:val="00DF6620"/>
    <w:rsid w:val="00DF7882"/>
    <w:rsid w:val="00E14512"/>
    <w:rsid w:val="00E16607"/>
    <w:rsid w:val="00E16B10"/>
    <w:rsid w:val="00E17EF9"/>
    <w:rsid w:val="00E521BC"/>
    <w:rsid w:val="00E57BF2"/>
    <w:rsid w:val="00E73BEF"/>
    <w:rsid w:val="00E7494B"/>
    <w:rsid w:val="00E77358"/>
    <w:rsid w:val="00E83FC2"/>
    <w:rsid w:val="00E87C3C"/>
    <w:rsid w:val="00E93837"/>
    <w:rsid w:val="00E96880"/>
    <w:rsid w:val="00EA2EED"/>
    <w:rsid w:val="00EA6FBA"/>
    <w:rsid w:val="00EB52B5"/>
    <w:rsid w:val="00EB55AC"/>
    <w:rsid w:val="00EC11EF"/>
    <w:rsid w:val="00EF499B"/>
    <w:rsid w:val="00EF4F90"/>
    <w:rsid w:val="00F01623"/>
    <w:rsid w:val="00F06BCC"/>
    <w:rsid w:val="00F105E4"/>
    <w:rsid w:val="00F117E9"/>
    <w:rsid w:val="00F14A9B"/>
    <w:rsid w:val="00F23E30"/>
    <w:rsid w:val="00F70F98"/>
    <w:rsid w:val="00F75029"/>
    <w:rsid w:val="00F86477"/>
    <w:rsid w:val="00FA2082"/>
    <w:rsid w:val="00FA2DEB"/>
    <w:rsid w:val="00FC7CE3"/>
    <w:rsid w:val="00FF2ACB"/>
    <w:rsid w:val="00FF4B80"/>
    <w:rsid w:val="01C38462"/>
    <w:rsid w:val="0C1A7505"/>
    <w:rsid w:val="10A4D9C3"/>
    <w:rsid w:val="152CD8F8"/>
    <w:rsid w:val="3043BE84"/>
    <w:rsid w:val="4012B7F9"/>
    <w:rsid w:val="40D70B25"/>
    <w:rsid w:val="41BFDEE9"/>
    <w:rsid w:val="4DD64C97"/>
    <w:rsid w:val="531C881E"/>
    <w:rsid w:val="5E239C8D"/>
    <w:rsid w:val="6F952C2F"/>
  </w:rsids>
  <m:mathPr>
    <m:mathFont m:val="Cambria Math"/>
    <m:brkBin m:val="before"/>
    <m:brkBinSub m:val="--"/>
    <m:smallFrac m:val="0"/>
    <m:dispDef/>
    <m:lMargin m:val="0"/>
    <m:rMargin m:val="0"/>
    <m:defJc m:val="centerGroup"/>
    <m:wrapIndent m:val="1440"/>
    <m:intLim m:val="subSup"/>
    <m:naryLim m:val="undOvr"/>
  </m:mathPr>
  <w:themeFontLang w:val="sv-SE"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EF3F"/>
  <w15:docId w15:val="{775469EE-7FA9-4328-89F8-A184C78A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Arial" w:eastAsia="Arial" w:hAnsi="Arial" w:cs="Arial"/>
      <w:lang w:val="sv-SE"/>
    </w:rPr>
  </w:style>
  <w:style w:type="paragraph" w:styleId="Otsikko1">
    <w:name w:val="heading 1"/>
    <w:basedOn w:val="Normaali"/>
    <w:uiPriority w:val="9"/>
    <w:qFormat/>
    <w:pPr>
      <w:spacing w:before="201"/>
      <w:ind w:left="1"/>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spacing w:before="198"/>
      <w:ind w:left="1" w:right="2353"/>
    </w:pPr>
  </w:style>
  <w:style w:type="paragraph" w:styleId="Otsikko">
    <w:name w:val="Title"/>
    <w:basedOn w:val="Normaali"/>
    <w:uiPriority w:val="10"/>
    <w:qFormat/>
    <w:pPr>
      <w:spacing w:before="1"/>
      <w:ind w:left="1"/>
    </w:pPr>
    <w:rPr>
      <w:b/>
      <w:bCs/>
      <w:sz w:val="28"/>
      <w:szCs w:val="28"/>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Yltunniste">
    <w:name w:val="header"/>
    <w:basedOn w:val="Normaali"/>
    <w:link w:val="YltunnisteChar"/>
    <w:uiPriority w:val="99"/>
    <w:semiHidden/>
    <w:unhideWhenUsed/>
    <w:rsid w:val="00513167"/>
    <w:pPr>
      <w:tabs>
        <w:tab w:val="center" w:pos="4536"/>
        <w:tab w:val="right" w:pos="9072"/>
      </w:tabs>
    </w:pPr>
  </w:style>
  <w:style w:type="character" w:customStyle="1" w:styleId="YltunnisteChar">
    <w:name w:val="Ylätunniste Char"/>
    <w:basedOn w:val="Kappaleenoletusfontti"/>
    <w:link w:val="Yltunniste"/>
    <w:uiPriority w:val="99"/>
    <w:semiHidden/>
    <w:rsid w:val="00513167"/>
    <w:rPr>
      <w:rFonts w:ascii="Arial" w:eastAsia="Arial" w:hAnsi="Arial" w:cs="Arial"/>
      <w:lang w:val="sv-SE"/>
    </w:rPr>
  </w:style>
  <w:style w:type="paragraph" w:styleId="Alatunniste">
    <w:name w:val="footer"/>
    <w:basedOn w:val="Normaali"/>
    <w:link w:val="AlatunnisteChar"/>
    <w:uiPriority w:val="99"/>
    <w:semiHidden/>
    <w:unhideWhenUsed/>
    <w:rsid w:val="00513167"/>
    <w:pPr>
      <w:tabs>
        <w:tab w:val="center" w:pos="4536"/>
        <w:tab w:val="right" w:pos="9072"/>
      </w:tabs>
    </w:pPr>
  </w:style>
  <w:style w:type="character" w:customStyle="1" w:styleId="AlatunnisteChar">
    <w:name w:val="Alatunniste Char"/>
    <w:basedOn w:val="Kappaleenoletusfontti"/>
    <w:link w:val="Alatunniste"/>
    <w:uiPriority w:val="99"/>
    <w:semiHidden/>
    <w:rsid w:val="00513167"/>
    <w:rPr>
      <w:rFonts w:ascii="Arial" w:eastAsia="Arial" w:hAnsi="Arial" w:cs="Arial"/>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E38A3B-D2A9-46D6-B255-02D85B1EB43A}">
  <we:reference id="25d6be0e-fec4-4cbc-87f4-5475cd4d1584" version="1.0.0.1"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DD88D220CCC4694CC72A98C955069" ma:contentTypeVersion="13" ma:contentTypeDescription="Create a new document." ma:contentTypeScope="" ma:versionID="0642d67cdc734452edf2f36171d80fe4">
  <xsd:schema xmlns:xsd="http://www.w3.org/2001/XMLSchema" xmlns:xs="http://www.w3.org/2001/XMLSchema" xmlns:p="http://schemas.microsoft.com/office/2006/metadata/properties" xmlns:ns2="2854afea-592b-40c6-9a6d-add30a74bbcb" xmlns:ns3="3b3c3760-19b8-4e81-8fe3-066e3140b99c" targetNamespace="http://schemas.microsoft.com/office/2006/metadata/properties" ma:root="true" ma:fieldsID="a931ea24848ea678511a97e554d41d96" ns2:_="" ns3:_="">
    <xsd:import namespace="2854afea-592b-40c6-9a6d-add30a74bbcb"/>
    <xsd:import namespace="3b3c3760-19b8-4e81-8fe3-066e3140b9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4afea-592b-40c6-9a6d-add30a74b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46dfa3c-b651-4bbc-9963-d4a0854711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c3760-19b8-4e81-8fe3-066e3140b9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520099-e83a-4566-9bad-809cc85fb857}" ma:internalName="TaxCatchAll" ma:showField="CatchAllData" ma:web="3b3c3760-19b8-4e81-8fe3-066e3140b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3c3760-19b8-4e81-8fe3-066e3140b99c" xsi:nil="true"/>
    <lcf76f155ced4ddcb4097134ff3c332f xmlns="2854afea-592b-40c6-9a6d-add30a74bb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A6E5ED-2196-455E-9D14-A3D7BB988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4afea-592b-40c6-9a6d-add30a74bbcb"/>
    <ds:schemaRef ds:uri="3b3c3760-19b8-4e81-8fe3-066e3140b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B1599-F5A8-4071-B71E-D732CEA1F964}">
  <ds:schemaRefs>
    <ds:schemaRef ds:uri="http://schemas.microsoft.com/office/2006/metadata/properties"/>
    <ds:schemaRef ds:uri="http://schemas.microsoft.com/office/infopath/2007/PartnerControls"/>
    <ds:schemaRef ds:uri="3b3c3760-19b8-4e81-8fe3-066e3140b99c"/>
    <ds:schemaRef ds:uri="2854afea-592b-40c6-9a6d-add30a74bbcb"/>
  </ds:schemaRefs>
</ds:datastoreItem>
</file>

<file path=customXml/itemProps3.xml><?xml version="1.0" encoding="utf-8"?>
<ds:datastoreItem xmlns:ds="http://schemas.openxmlformats.org/officeDocument/2006/customXml" ds:itemID="{30C88893-8A07-4EB6-A375-869EBC420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4736</Characters>
  <Application>Microsoft Office Word</Application>
  <DocSecurity>0</DocSecurity>
  <Lines>83</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Ekelund Thörn</dc:creator>
  <cp:lastModifiedBy>Sivula Heikki</cp:lastModifiedBy>
  <cp:revision>4</cp:revision>
  <cp:lastPrinted>2025-11-19T13:52:00Z</cp:lastPrinted>
  <dcterms:created xsi:type="dcterms:W3CDTF">2026-04-29T10:34:00Z</dcterms:created>
  <dcterms:modified xsi:type="dcterms:W3CDTF">2026-05-04T12:26:00Z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Acrobat PDFMaker 23 för Word</vt:lpwstr>
  </property>
  <property fmtid="{D5CDD505-2E9C-101B-9397-08002B2CF9AE}" pid="4" name="LastSaved">
    <vt:filetime>2025-09-11T00:00:00Z</vt:filetime>
  </property>
  <property fmtid="{D5CDD505-2E9C-101B-9397-08002B2CF9AE}" pid="5" name="Producer">
    <vt:lpwstr>Adobe PDF Library 23.6.156</vt:lpwstr>
  </property>
  <property fmtid="{D5CDD505-2E9C-101B-9397-08002B2CF9AE}" pid="6" name="SourceModified">
    <vt:lpwstr/>
  </property>
  <property fmtid="{D5CDD505-2E9C-101B-9397-08002B2CF9AE}" pid="7" name="ContentTypeId">
    <vt:lpwstr>0x0101006B0DD88D220CCC4694CC72A98C955069</vt:lpwstr>
  </property>
  <property fmtid="{D5CDD505-2E9C-101B-9397-08002B2CF9AE}" pid="8" name="MediaServiceImageTags">
    <vt:lpwstr/>
  </property>
  <property fmtid="{D5CDD505-2E9C-101B-9397-08002B2CF9AE}" pid="9" name="docLang">
    <vt:lpwstr>sv</vt:lpwstr>
  </property>
</Properties>
</file>